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1E9" w:rsidRDefault="000431E9" w:rsidP="000431E9">
      <w:pPr>
        <w:jc w:val="center"/>
        <w:rPr>
          <w:rFonts w:ascii="Arial Black" w:hAnsi="Arial Black"/>
          <w:b/>
          <w:sz w:val="40"/>
          <w:szCs w:val="40"/>
        </w:rPr>
      </w:pPr>
      <w:r>
        <w:rPr>
          <w:noProof/>
        </w:rPr>
        <mc:AlternateContent>
          <mc:Choice Requires="wps">
            <w:drawing>
              <wp:anchor distT="0" distB="0" distL="114300" distR="114300" simplePos="0" relativeHeight="251663360" behindDoc="0" locked="0" layoutInCell="1" allowOverlap="1" wp14:anchorId="7991FF21" wp14:editId="70F59231">
                <wp:simplePos x="0" y="0"/>
                <wp:positionH relativeFrom="column">
                  <wp:posOffset>1040130</wp:posOffset>
                </wp:positionH>
                <wp:positionV relativeFrom="paragraph">
                  <wp:posOffset>-372745</wp:posOffset>
                </wp:positionV>
                <wp:extent cx="44958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95800" cy="914400"/>
                        </a:xfrm>
                        <a:prstGeom prst="rect">
                          <a:avLst/>
                        </a:prstGeom>
                        <a:noFill/>
                        <a:ln>
                          <a:noFill/>
                        </a:ln>
                      </wps:spPr>
                      <wps:txbx>
                        <w:txbxContent>
                          <w:p w:rsidR="000431E9" w:rsidRPr="008573A2" w:rsidRDefault="000431E9" w:rsidP="000431E9">
                            <w:pPr>
                              <w:jc w:val="center"/>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573A2">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Oconee RESA</w:t>
                            </w:r>
                          </w:p>
                          <w:p w:rsidR="000431E9" w:rsidRPr="000431E9" w:rsidRDefault="000431E9" w:rsidP="000431E9">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431E9">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Special Opportunity</w:t>
                            </w:r>
                            <w: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1FF21" id="_x0000_t202" coordsize="21600,21600" o:spt="202" path="m,l,21600r21600,l21600,xe">
                <v:stroke joinstyle="miter"/>
                <v:path gradientshapeok="t" o:connecttype="rect"/>
              </v:shapetype>
              <v:shape id="Text Box 1" o:spid="_x0000_s1026" type="#_x0000_t202" style="position:absolute;left:0;text-align:left;margin-left:81.9pt;margin-top:-29.35pt;width:35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" filled="f" stroked="f">
                <v:textbox>
                  <w:txbxContent>
                    <w:p w:rsidR="000431E9" w:rsidRPr="008573A2" w:rsidRDefault="000431E9" w:rsidP="000431E9">
                      <w:pPr>
                        <w:jc w:val="center"/>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573A2">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Oconee RESA</w:t>
                      </w:r>
                    </w:p>
                    <w:p w:rsidR="000431E9" w:rsidRPr="000431E9" w:rsidRDefault="000431E9" w:rsidP="000431E9">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431E9">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Special Opportunity</w:t>
                      </w:r>
                      <w: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txbxContent>
                </v:textbox>
              </v:shape>
            </w:pict>
          </mc:Fallback>
        </mc:AlternateContent>
      </w:r>
    </w:p>
    <w:p w:rsidR="00FA6C8E" w:rsidRPr="000431E9" w:rsidRDefault="000431E9" w:rsidP="008573A2">
      <w:pPr>
        <w:jc w:val="center"/>
        <w:rPr>
          <w:b/>
          <w:i/>
          <w:color w:val="C0504D" w:themeColor="accent2"/>
          <w:sz w:val="28"/>
          <w:szCs w:val="28"/>
        </w:rPr>
      </w:pPr>
      <w:r>
        <w:rPr>
          <w:b/>
          <w:i/>
          <w:color w:val="C00000"/>
          <w:sz w:val="28"/>
          <w:szCs w:val="28"/>
        </w:rPr>
        <w:br/>
      </w:r>
      <w:r w:rsidR="00FA6C8E" w:rsidRPr="000431E9">
        <w:rPr>
          <w:b/>
          <w:i/>
          <w:color w:val="C00000"/>
          <w:sz w:val="28"/>
          <w:szCs w:val="28"/>
        </w:rPr>
        <w:t xml:space="preserve">The Essentials of Effective Teaching and Learning </w:t>
      </w:r>
      <w:r w:rsidR="00FA6C8E" w:rsidRPr="000431E9">
        <w:rPr>
          <w:b/>
          <w:color w:val="C00000"/>
          <w:sz w:val="28"/>
          <w:szCs w:val="28"/>
        </w:rPr>
        <w:t>course</w:t>
      </w:r>
      <w:r>
        <w:rPr>
          <w:b/>
          <w:color w:val="C0504D" w:themeColor="accent2"/>
          <w:sz w:val="28"/>
          <w:szCs w:val="28"/>
        </w:rPr>
        <w:br/>
      </w:r>
    </w:p>
    <w:p w:rsidR="00FA6C8E" w:rsidRPr="00D44992" w:rsidRDefault="00FA6C8E" w:rsidP="00FA6C8E">
      <w:r w:rsidRPr="00D44992">
        <w:t xml:space="preserve">Oconee RESA announces the following opportunity for teachers to participate in </w:t>
      </w:r>
      <w:r w:rsidRPr="00D44992">
        <w:rPr>
          <w:i/>
        </w:rPr>
        <w:t xml:space="preserve">The Essentials of Effective Teaching and Learning </w:t>
      </w:r>
      <w:r w:rsidRPr="00D44992">
        <w:t>course.</w:t>
      </w:r>
    </w:p>
    <w:p w:rsidR="00FA6C8E" w:rsidRPr="00D44992" w:rsidRDefault="00FA6C8E" w:rsidP="00FA6C8E"/>
    <w:p w:rsidR="00FA6C8E" w:rsidRPr="00D44992" w:rsidRDefault="001D4C16" w:rsidP="00FA6C8E">
      <w:pPr>
        <w:rPr>
          <w:rStyle w:val="contenttext"/>
        </w:rPr>
      </w:pPr>
      <w:r w:rsidRPr="001D4C16">
        <w:rPr>
          <w:b/>
          <w:u w:val="single"/>
        </w:rPr>
        <w:t>Course Description</w:t>
      </w:r>
      <w:r w:rsidR="00FA6C8E" w:rsidRPr="001D4C16">
        <w:rPr>
          <w:b/>
          <w:u w:val="single"/>
        </w:rPr>
        <w:t>:</w:t>
      </w:r>
      <w:r w:rsidR="00FA6C8E" w:rsidRPr="00D44992">
        <w:t xml:space="preserve">  </w:t>
      </w:r>
      <w:r w:rsidR="00FA6C8E" w:rsidRPr="00D44992">
        <w:rPr>
          <w:rStyle w:val="contenttext"/>
        </w:rPr>
        <w:t>This 80-hour class, based on Charlotte Danielson's framework, introduces candidates to best practices in instructional content and practice, planning and managing the teaching and learning environment, instruction, and professional and ethical practices. Through this course, paraprofessionals learn research-based exemplary practices in instructional pedagogy to prepare for entry into the teaching profession.</w:t>
      </w:r>
    </w:p>
    <w:p w:rsidR="00FA6C8E" w:rsidRPr="001D4C16" w:rsidRDefault="00FA6C8E" w:rsidP="00FA6C8E">
      <w:pPr>
        <w:rPr>
          <w:rStyle w:val="contenttext"/>
          <w:u w:val="single"/>
        </w:rPr>
      </w:pPr>
    </w:p>
    <w:p w:rsidR="00FA6C8E" w:rsidRPr="00D44992" w:rsidRDefault="00FA6C8E" w:rsidP="00FA6C8E">
      <w:pPr>
        <w:rPr>
          <w:rStyle w:val="contenttext"/>
        </w:rPr>
      </w:pPr>
      <w:r w:rsidRPr="001D4C16">
        <w:rPr>
          <w:rStyle w:val="contenttext"/>
          <w:b/>
          <w:u w:val="single"/>
        </w:rPr>
        <w:t>Course Presentation:</w:t>
      </w:r>
      <w:r w:rsidRPr="00D44992">
        <w:rPr>
          <w:rStyle w:val="contenttext"/>
          <w:b/>
        </w:rPr>
        <w:t xml:space="preserve">  </w:t>
      </w:r>
      <w:r w:rsidRPr="00D44992">
        <w:rPr>
          <w:rStyle w:val="contenttext"/>
        </w:rPr>
        <w:t>The course will be offered in a blended model format, 1/3</w:t>
      </w:r>
      <w:r w:rsidRPr="00D44992">
        <w:rPr>
          <w:rStyle w:val="contenttext"/>
          <w:vertAlign w:val="superscript"/>
        </w:rPr>
        <w:t>rd</w:t>
      </w:r>
      <w:r w:rsidRPr="00D44992">
        <w:rPr>
          <w:rStyle w:val="contenttext"/>
        </w:rPr>
        <w:t xml:space="preserve"> face-to-face and 2/3</w:t>
      </w:r>
      <w:r w:rsidRPr="00D44992">
        <w:rPr>
          <w:rStyle w:val="contenttext"/>
          <w:vertAlign w:val="superscript"/>
        </w:rPr>
        <w:t>rds</w:t>
      </w:r>
      <w:r w:rsidRPr="00D44992">
        <w:rPr>
          <w:rStyle w:val="contenttext"/>
        </w:rPr>
        <w:t xml:space="preserve"> on-line in Moodle.</w:t>
      </w:r>
    </w:p>
    <w:p w:rsidR="00FA6C8E" w:rsidRPr="00D44992" w:rsidRDefault="00FA6C8E" w:rsidP="00FA6C8E">
      <w:pPr>
        <w:rPr>
          <w:rStyle w:val="contenttext"/>
        </w:rPr>
      </w:pPr>
    </w:p>
    <w:p w:rsidR="00FA6C8E" w:rsidRPr="00D44992" w:rsidRDefault="00FA6C8E" w:rsidP="00FA6C8E">
      <w:pPr>
        <w:rPr>
          <w:rStyle w:val="contenttext"/>
        </w:rPr>
      </w:pPr>
      <w:r w:rsidRPr="001D4C16">
        <w:rPr>
          <w:rStyle w:val="contenttext"/>
          <w:b/>
          <w:u w:val="single"/>
        </w:rPr>
        <w:t>Participation Requirements:</w:t>
      </w:r>
      <w:r w:rsidRPr="00D44992">
        <w:rPr>
          <w:rStyle w:val="contenttext"/>
          <w:b/>
        </w:rPr>
        <w:t xml:space="preserve"> </w:t>
      </w:r>
      <w:r w:rsidRPr="00D44992">
        <w:rPr>
          <w:rStyle w:val="contenttext"/>
        </w:rPr>
        <w:t>This course is offered to individuals who meet the following criteria.  Each participant must</w:t>
      </w:r>
    </w:p>
    <w:p w:rsidR="00FA6C8E" w:rsidRPr="00D44992" w:rsidRDefault="00FA6C8E" w:rsidP="00FA6C8E">
      <w:pPr>
        <w:rPr>
          <w:rStyle w:val="contenttext"/>
        </w:rPr>
      </w:pPr>
    </w:p>
    <w:p w:rsidR="00FA6C8E" w:rsidRPr="00D44992" w:rsidRDefault="00FA6C8E" w:rsidP="00FA6C8E">
      <w:pPr>
        <w:pStyle w:val="ListParagraph"/>
        <w:numPr>
          <w:ilvl w:val="0"/>
          <w:numId w:val="1"/>
        </w:numPr>
      </w:pPr>
      <w:r w:rsidRPr="00D44992">
        <w:t>be employed in a school District; and,</w:t>
      </w:r>
    </w:p>
    <w:p w:rsidR="00FA6C8E" w:rsidRPr="00D44992" w:rsidRDefault="00FA6C8E" w:rsidP="00FA6C8E">
      <w:pPr>
        <w:pStyle w:val="ListParagraph"/>
        <w:numPr>
          <w:ilvl w:val="0"/>
          <w:numId w:val="1"/>
        </w:numPr>
      </w:pPr>
      <w:r w:rsidRPr="00D44992">
        <w:t>holds a minimum of a four-year degree from an accredited college or university</w:t>
      </w:r>
    </w:p>
    <w:p w:rsidR="00FA6C8E" w:rsidRPr="00D44992" w:rsidRDefault="00FA6C8E" w:rsidP="00FA6C8E"/>
    <w:p w:rsidR="00FA6C8E" w:rsidRPr="00D44992" w:rsidRDefault="00FA6C8E" w:rsidP="00FA6C8E">
      <w:r w:rsidRPr="00D44992">
        <w:rPr>
          <w:b/>
        </w:rPr>
        <w:t>Cost:   $</w:t>
      </w:r>
      <w:r w:rsidR="000431E9">
        <w:rPr>
          <w:b/>
        </w:rPr>
        <w:t>60</w:t>
      </w:r>
      <w:r w:rsidRPr="00D44992">
        <w:rPr>
          <w:b/>
        </w:rPr>
        <w:t>0.00 Member Districts; $</w:t>
      </w:r>
      <w:r w:rsidR="000431E9">
        <w:rPr>
          <w:b/>
        </w:rPr>
        <w:t>2000</w:t>
      </w:r>
      <w:r w:rsidRPr="00D44992">
        <w:rPr>
          <w:b/>
        </w:rPr>
        <w:t>.00 Non-Member Districts</w:t>
      </w:r>
      <w:r w:rsidR="005B3A2F">
        <w:rPr>
          <w:b/>
        </w:rPr>
        <w:t xml:space="preserve"> </w:t>
      </w:r>
      <w:r w:rsidRPr="00D44992">
        <w:t>(Textbook is included in this fee.)</w:t>
      </w:r>
      <w:r w:rsidRPr="00D44992">
        <w:br/>
      </w:r>
      <w:r w:rsidRPr="00D44992">
        <w:rPr>
          <w:b/>
        </w:rPr>
        <w:t xml:space="preserve">             </w:t>
      </w:r>
    </w:p>
    <w:p w:rsidR="00FA6C8E" w:rsidRPr="00D44992" w:rsidRDefault="00FA6C8E" w:rsidP="00FA6C8E">
      <w:r w:rsidRPr="00D44992">
        <w:rPr>
          <w:b/>
        </w:rPr>
        <w:t xml:space="preserve">Transition into the Teaching Profession </w:t>
      </w:r>
      <w:r w:rsidRPr="00D44992">
        <w:rPr>
          <w:b/>
          <w:u w:val="single"/>
        </w:rPr>
        <w:t>through Oconee RESA GaTAPP</w:t>
      </w:r>
      <w:r w:rsidRPr="00D44992">
        <w:rPr>
          <w:b/>
        </w:rPr>
        <w:t xml:space="preserve">:  </w:t>
      </w:r>
      <w:r w:rsidRPr="00D44992">
        <w:t xml:space="preserve">Pre-TAPP Candidates who are hired as teachers - and who subsequently enroll in Oconee RESA’s Georgia TAPP Program - will deduct the cost of the </w:t>
      </w:r>
      <w:r w:rsidRPr="00D44992">
        <w:rPr>
          <w:i/>
        </w:rPr>
        <w:t>Essentials of Effective Teaching and Learning</w:t>
      </w:r>
      <w:r w:rsidRPr="00D44992">
        <w:t xml:space="preserve"> course from their </w:t>
      </w:r>
      <w:r w:rsidR="005B3A2F" w:rsidRPr="005B3A2F">
        <w:t>program</w:t>
      </w:r>
      <w:r w:rsidRPr="005B3A2F">
        <w:t xml:space="preserve"> fee</w:t>
      </w:r>
      <w:r w:rsidRPr="00D44992">
        <w:t xml:space="preserve">.    </w:t>
      </w:r>
    </w:p>
    <w:p w:rsidR="00FA6C8E" w:rsidRPr="005B3A2F" w:rsidRDefault="00FA6C8E" w:rsidP="00FA6C8E">
      <w:pPr>
        <w:rPr>
          <w:sz w:val="16"/>
          <w:szCs w:val="16"/>
        </w:rPr>
      </w:pPr>
    </w:p>
    <w:p w:rsidR="00FA6C8E" w:rsidRPr="005B3A2F" w:rsidRDefault="00FA6C8E" w:rsidP="005B3A2F">
      <w:pPr>
        <w:shd w:val="clear" w:color="auto" w:fill="FFFFFF" w:themeFill="background1"/>
        <w:rPr>
          <w:color w:val="FF0000"/>
          <w:sz w:val="22"/>
          <w:szCs w:val="22"/>
        </w:rPr>
      </w:pPr>
      <w:r w:rsidRPr="005B3A2F">
        <w:rPr>
          <w:b/>
          <w:color w:val="FF0000"/>
          <w:sz w:val="22"/>
          <w:szCs w:val="22"/>
        </w:rPr>
        <w:t xml:space="preserve">Registration:  </w:t>
      </w:r>
      <w:r w:rsidRPr="005B3A2F">
        <w:rPr>
          <w:color w:val="FF0000"/>
          <w:sz w:val="22"/>
          <w:szCs w:val="22"/>
        </w:rPr>
        <w:t xml:space="preserve">Candidates must have received prior approval from Oconee RESA to take this class. </w:t>
      </w:r>
    </w:p>
    <w:p w:rsidR="00FA6C8E" w:rsidRPr="005B3A2F" w:rsidRDefault="008573A2" w:rsidP="005B3A2F">
      <w:pPr>
        <w:jc w:val="center"/>
        <w:rPr>
          <w:rFonts w:asciiTheme="minorHAnsi" w:hAnsiTheme="minorHAnsi"/>
          <w:b/>
          <w:sz w:val="22"/>
          <w:szCs w:val="22"/>
          <w:shd w:val="clear" w:color="auto" w:fill="FFFF00"/>
        </w:rPr>
      </w:pPr>
      <w:r w:rsidRPr="005B3A2F">
        <w:rPr>
          <w:rFonts w:asciiTheme="minorHAnsi" w:hAnsiTheme="minorHAnsi"/>
          <w:b/>
          <w:color w:val="FF0000"/>
          <w:sz w:val="22"/>
          <w:szCs w:val="22"/>
        </w:rPr>
        <w:br/>
      </w:r>
      <w:r w:rsidR="00FA6C8E" w:rsidRPr="005B3A2F">
        <w:rPr>
          <w:rFonts w:asciiTheme="minorHAnsi" w:hAnsiTheme="minorHAnsi"/>
          <w:b/>
          <w:sz w:val="22"/>
          <w:szCs w:val="22"/>
          <w:shd w:val="clear" w:color="auto" w:fill="FFFF00"/>
        </w:rPr>
        <w:t>Candidates will not be enrolled in GATAPP until all GATAPP Program Admission Requirements have been met.</w:t>
      </w:r>
    </w:p>
    <w:p w:rsidR="005B3A2F" w:rsidRPr="005B3A2F" w:rsidRDefault="005B3A2F" w:rsidP="00E813D3">
      <w:pPr>
        <w:rPr>
          <w:rFonts w:asciiTheme="minorHAnsi" w:hAnsiTheme="minorHAnsi"/>
          <w:b/>
          <w:color w:val="FF0000"/>
          <w:sz w:val="16"/>
          <w:szCs w:val="16"/>
        </w:rPr>
      </w:pPr>
    </w:p>
    <w:p w:rsidR="00E813D3" w:rsidRPr="00500D70" w:rsidRDefault="001D4C16" w:rsidP="00E813D3">
      <w:pPr>
        <w:rPr>
          <w:rFonts w:ascii="Calibri" w:hAnsi="Calibri" w:cs="Calibri"/>
          <w:sz w:val="16"/>
          <w:szCs w:val="16"/>
        </w:rPr>
      </w:pPr>
      <w:r>
        <w:rPr>
          <w:rFonts w:ascii="Calibri" w:hAnsi="Calibri" w:cs="Calibri"/>
          <w:b/>
          <w:u w:val="single"/>
        </w:rPr>
        <w:t>Payment Options (</w:t>
      </w:r>
      <w:r w:rsidR="005B3A2F" w:rsidRPr="001D4C16">
        <w:rPr>
          <w:rFonts w:ascii="Calibri" w:hAnsi="Calibri" w:cs="Calibri"/>
          <w:b/>
          <w:u w:val="single"/>
        </w:rPr>
        <w:t>Mark One</w:t>
      </w:r>
      <w:r>
        <w:rPr>
          <w:rFonts w:ascii="Calibri" w:hAnsi="Calibri" w:cs="Calibri"/>
          <w:b/>
          <w:u w:val="single"/>
        </w:rPr>
        <w:t>)</w:t>
      </w:r>
      <w:r w:rsidR="005B3A2F" w:rsidRPr="001D4C16">
        <w:rPr>
          <w:rFonts w:ascii="Calibri" w:hAnsi="Calibri" w:cs="Calibri"/>
          <w:b/>
          <w:u w:val="single"/>
        </w:rPr>
        <w:t>:</w:t>
      </w:r>
      <w:r w:rsidR="005B3A2F" w:rsidRPr="005B3A2F">
        <w:rPr>
          <w:rFonts w:ascii="Calibri" w:hAnsi="Calibri" w:cs="Calibri"/>
        </w:rPr>
        <w:br/>
      </w:r>
      <w:r w:rsidR="005B3A2F" w:rsidRPr="005B3A2F">
        <w:rPr>
          <w:rFonts w:ascii="Calibri" w:hAnsi="Calibri" w:cs="Calibri"/>
        </w:rPr>
        <w:sym w:font="Wingdings" w:char="F0A6"/>
      </w:r>
      <w:r w:rsidR="005B3A2F" w:rsidRPr="005B3A2F">
        <w:rPr>
          <w:rFonts w:ascii="Calibri" w:hAnsi="Calibri" w:cs="Calibri"/>
        </w:rPr>
        <w:t xml:space="preserve"> </w:t>
      </w:r>
      <w:r w:rsidR="005B3A2F" w:rsidRPr="001D4C16">
        <w:rPr>
          <w:rFonts w:ascii="Calibri" w:hAnsi="Calibri" w:cs="Calibri"/>
          <w:b/>
        </w:rPr>
        <w:t>Self-Pay</w:t>
      </w:r>
      <w:r w:rsidR="00E813D3" w:rsidRPr="001D4C16">
        <w:rPr>
          <w:rFonts w:ascii="Calibri" w:hAnsi="Calibri" w:cs="Calibri"/>
          <w:b/>
        </w:rPr>
        <w:t xml:space="preserve"> (</w:t>
      </w:r>
      <w:r w:rsidR="00E813D3">
        <w:rPr>
          <w:rFonts w:ascii="Calibri" w:hAnsi="Calibri" w:cs="Calibri"/>
        </w:rPr>
        <w:t>Candidate will pay for course.)</w:t>
      </w:r>
      <w:r w:rsidR="005B3A2F" w:rsidRPr="005B3A2F">
        <w:rPr>
          <w:rFonts w:ascii="Calibri" w:hAnsi="Calibri" w:cs="Calibri"/>
        </w:rPr>
        <w:tab/>
        <w:t xml:space="preserve"> </w:t>
      </w:r>
      <w:r w:rsidR="00E813D3">
        <w:rPr>
          <w:rFonts w:ascii="Calibri" w:hAnsi="Calibri" w:cs="Calibri"/>
        </w:rPr>
        <w:br/>
      </w:r>
      <w:r w:rsidR="00E813D3" w:rsidRPr="00E813D3">
        <w:rPr>
          <w:rFonts w:ascii="Calibri" w:hAnsi="Calibri" w:cs="Calibri"/>
          <w:sz w:val="20"/>
          <w:szCs w:val="20"/>
        </w:rPr>
        <w:t xml:space="preserve">Payment </w:t>
      </w:r>
      <w:r w:rsidR="002233CC">
        <w:rPr>
          <w:rFonts w:ascii="Calibri" w:hAnsi="Calibri" w:cs="Calibri"/>
          <w:sz w:val="20"/>
          <w:szCs w:val="20"/>
        </w:rPr>
        <w:t xml:space="preserve">must be </w:t>
      </w:r>
      <w:bookmarkStart w:id="0" w:name="_GoBack"/>
      <w:bookmarkEnd w:id="0"/>
      <w:r w:rsidR="002233CC">
        <w:rPr>
          <w:rFonts w:ascii="Calibri" w:hAnsi="Calibri" w:cs="Calibri"/>
          <w:sz w:val="20"/>
          <w:szCs w:val="20"/>
        </w:rPr>
        <w:t xml:space="preserve">submitted </w:t>
      </w:r>
      <w:r w:rsidR="00E813D3" w:rsidRPr="00E813D3">
        <w:rPr>
          <w:rFonts w:ascii="Calibri" w:hAnsi="Calibri" w:cs="Calibri"/>
          <w:sz w:val="20"/>
          <w:szCs w:val="20"/>
        </w:rPr>
        <w:t>in the form of a money order, cashier’s check or district check to cover course fee.</w:t>
      </w:r>
      <w:r w:rsidR="005B3A2F" w:rsidRPr="00E813D3">
        <w:rPr>
          <w:rFonts w:ascii="Calibri" w:hAnsi="Calibri" w:cs="Calibri"/>
          <w:sz w:val="20"/>
          <w:szCs w:val="20"/>
        </w:rPr>
        <w:t xml:space="preserve">   </w:t>
      </w:r>
      <w:r w:rsidR="00E813D3" w:rsidRPr="00E813D3">
        <w:rPr>
          <w:rFonts w:ascii="Calibri" w:hAnsi="Calibri" w:cs="Calibri"/>
          <w:sz w:val="20"/>
          <w:szCs w:val="20"/>
        </w:rPr>
        <w:br/>
      </w:r>
      <w:r w:rsidR="005B3A2F" w:rsidRPr="005B3A2F">
        <w:rPr>
          <w:rFonts w:ascii="Calibri" w:hAnsi="Calibri" w:cs="Calibri"/>
        </w:rPr>
        <w:t xml:space="preserve">     </w:t>
      </w:r>
    </w:p>
    <w:p w:rsidR="00500D70" w:rsidRDefault="005B3A2F" w:rsidP="00E813D3">
      <w:pPr>
        <w:rPr>
          <w:rFonts w:ascii="Calibri" w:hAnsi="Calibri" w:cs="Calibri"/>
        </w:rPr>
      </w:pPr>
      <w:r w:rsidRPr="005B3A2F">
        <w:rPr>
          <w:rFonts w:ascii="Calibri" w:hAnsi="Calibri" w:cs="Calibri"/>
        </w:rPr>
        <w:sym w:font="Wingdings" w:char="F0A6"/>
      </w:r>
      <w:r w:rsidRPr="005B3A2F">
        <w:rPr>
          <w:rFonts w:ascii="Calibri" w:hAnsi="Calibri" w:cs="Calibri"/>
        </w:rPr>
        <w:t xml:space="preserve"> </w:t>
      </w:r>
      <w:r w:rsidRPr="001D4C16">
        <w:rPr>
          <w:rFonts w:ascii="Calibri" w:hAnsi="Calibri" w:cs="Calibri"/>
          <w:b/>
        </w:rPr>
        <w:t>Invoice District</w:t>
      </w:r>
      <w:r w:rsidRPr="005B3A2F">
        <w:rPr>
          <w:rFonts w:ascii="Calibri" w:hAnsi="Calibri" w:cs="Calibri"/>
        </w:rPr>
        <w:t xml:space="preserve">  </w:t>
      </w:r>
      <w:r w:rsidR="00E813D3">
        <w:rPr>
          <w:rFonts w:ascii="Calibri" w:hAnsi="Calibri" w:cs="Calibri"/>
        </w:rPr>
        <w:t>(District authorizes Oconee RESA to invoice district for course.)</w:t>
      </w:r>
      <w:r w:rsidRPr="005B3A2F">
        <w:rPr>
          <w:rFonts w:ascii="Calibri" w:hAnsi="Calibri" w:cs="Calibri"/>
        </w:rPr>
        <w:t xml:space="preserve">   </w:t>
      </w:r>
    </w:p>
    <w:tbl>
      <w:tblPr>
        <w:tblStyle w:val="TableGrid"/>
        <w:tblpPr w:leftFromText="180" w:rightFromText="180" w:vertAnchor="text" w:horzAnchor="margin" w:tblpY="89"/>
        <w:tblW w:w="0" w:type="auto"/>
        <w:tblLook w:val="04A0" w:firstRow="1" w:lastRow="0" w:firstColumn="1" w:lastColumn="0" w:noHBand="0" w:noVBand="1"/>
      </w:tblPr>
      <w:tblGrid>
        <w:gridCol w:w="5058"/>
        <w:gridCol w:w="5094"/>
      </w:tblGrid>
      <w:tr w:rsidR="005B3A2F" w:rsidRPr="008573A2" w:rsidTr="005B3A2F">
        <w:tc>
          <w:tcPr>
            <w:tcW w:w="10152" w:type="dxa"/>
            <w:gridSpan w:val="2"/>
            <w:shd w:val="clear" w:color="auto" w:fill="D9D9D9" w:themeFill="background1" w:themeFillShade="D9"/>
          </w:tcPr>
          <w:p w:rsidR="005B3A2F" w:rsidRPr="008573A2" w:rsidRDefault="005B3A2F" w:rsidP="005B3A2F">
            <w:pPr>
              <w:jc w:val="center"/>
              <w:rPr>
                <w:rFonts w:ascii="Calibri" w:hAnsi="Calibri" w:cs="Calibri"/>
                <w:color w:val="1F497D" w:themeColor="text2"/>
              </w:rPr>
            </w:pPr>
            <w:r w:rsidRPr="00E813D3">
              <w:rPr>
                <w:b/>
                <w:color w:val="1F497D" w:themeColor="text2"/>
              </w:rPr>
              <w:t>2019-2020</w:t>
            </w:r>
            <w:r w:rsidRPr="00E813D3">
              <w:rPr>
                <w:b/>
                <w:color w:val="1F497D" w:themeColor="text2"/>
              </w:rPr>
              <w:br/>
            </w:r>
            <w:r w:rsidRPr="008573A2">
              <w:rPr>
                <w:b/>
                <w:i/>
                <w:color w:val="1F497D" w:themeColor="text2"/>
              </w:rPr>
              <w:t xml:space="preserve">The Essentials of Effective Teaching and Learning </w:t>
            </w:r>
            <w:r w:rsidRPr="008573A2">
              <w:rPr>
                <w:b/>
                <w:color w:val="1F497D" w:themeColor="text2"/>
              </w:rPr>
              <w:t>course:</w:t>
            </w:r>
            <w:r w:rsidRPr="008573A2">
              <w:rPr>
                <w:b/>
                <w:color w:val="1F497D" w:themeColor="text2"/>
              </w:rPr>
              <w:br/>
            </w:r>
            <w:r w:rsidRPr="008573A2">
              <w:rPr>
                <w:rFonts w:cs="Calibri"/>
                <w:color w:val="1F497D" w:themeColor="text2"/>
              </w:rPr>
              <w:t>June 17-28, 2019, 9-3:00 P.M. at Oconee RESA in Tennille, GA.</w:t>
            </w:r>
          </w:p>
        </w:tc>
      </w:tr>
      <w:tr w:rsidR="005B3A2F" w:rsidRPr="000431E9" w:rsidTr="005B3A2F">
        <w:tc>
          <w:tcPr>
            <w:tcW w:w="5058" w:type="dxa"/>
            <w:shd w:val="clear" w:color="auto" w:fill="F2F2F2" w:themeFill="background1" w:themeFillShade="F2"/>
          </w:tcPr>
          <w:p w:rsidR="005B3A2F" w:rsidRPr="008573A2" w:rsidRDefault="00E813D3" w:rsidP="005B3A2F">
            <w:pPr>
              <w:jc w:val="center"/>
              <w:rPr>
                <w:rFonts w:ascii="Calibri" w:hAnsi="Calibri" w:cs="Calibri"/>
              </w:rPr>
            </w:pPr>
            <w:proofErr w:type="spellStart"/>
            <w:r w:rsidRPr="008573A2">
              <w:rPr>
                <w:rFonts w:ascii="Calibri" w:hAnsi="Calibri" w:cs="Calibri"/>
              </w:rPr>
              <w:t>PreTAPP</w:t>
            </w:r>
            <w:proofErr w:type="spellEnd"/>
            <w:r w:rsidRPr="008573A2">
              <w:rPr>
                <w:rFonts w:ascii="Calibri" w:hAnsi="Calibri" w:cs="Calibri"/>
              </w:rPr>
              <w:t xml:space="preserve"> Candidate</w:t>
            </w:r>
            <w:r>
              <w:rPr>
                <w:rFonts w:ascii="Calibri" w:hAnsi="Calibri" w:cs="Calibri"/>
              </w:rPr>
              <w:t xml:space="preserve"> Name</w:t>
            </w:r>
            <w:r w:rsidRPr="008573A2">
              <w:rPr>
                <w:rFonts w:ascii="Calibri" w:hAnsi="Calibri" w:cs="Calibri"/>
              </w:rPr>
              <w:t xml:space="preserve"> (Type or Print)</w:t>
            </w:r>
          </w:p>
        </w:tc>
        <w:tc>
          <w:tcPr>
            <w:tcW w:w="5094" w:type="dxa"/>
          </w:tcPr>
          <w:p w:rsidR="005B3A2F" w:rsidRDefault="005B3A2F" w:rsidP="005B3A2F">
            <w:pPr>
              <w:jc w:val="center"/>
              <w:rPr>
                <w:rFonts w:ascii="Calibri" w:hAnsi="Calibri" w:cs="Calibri"/>
                <w:sz w:val="18"/>
                <w:szCs w:val="18"/>
              </w:rPr>
            </w:pPr>
          </w:p>
        </w:tc>
      </w:tr>
      <w:tr w:rsidR="00E813D3" w:rsidRPr="000431E9" w:rsidTr="00E813D3">
        <w:trPr>
          <w:trHeight w:val="320"/>
        </w:trPr>
        <w:tc>
          <w:tcPr>
            <w:tcW w:w="5058" w:type="dxa"/>
            <w:shd w:val="clear" w:color="auto" w:fill="F2F2F2" w:themeFill="background1" w:themeFillShade="F2"/>
          </w:tcPr>
          <w:p w:rsidR="00E813D3" w:rsidRPr="008573A2" w:rsidRDefault="00E813D3" w:rsidP="005B3A2F">
            <w:pPr>
              <w:jc w:val="center"/>
              <w:rPr>
                <w:rFonts w:ascii="Calibri" w:hAnsi="Calibri" w:cs="Calibri"/>
              </w:rPr>
            </w:pPr>
            <w:proofErr w:type="spellStart"/>
            <w:r w:rsidRPr="008573A2">
              <w:rPr>
                <w:rFonts w:ascii="Calibri" w:hAnsi="Calibri" w:cs="Calibri"/>
              </w:rPr>
              <w:t>PreTAPP</w:t>
            </w:r>
            <w:proofErr w:type="spellEnd"/>
            <w:r w:rsidRPr="008573A2">
              <w:rPr>
                <w:rFonts w:ascii="Calibri" w:hAnsi="Calibri" w:cs="Calibri"/>
              </w:rPr>
              <w:t xml:space="preserve"> Candidate</w:t>
            </w:r>
            <w:r>
              <w:rPr>
                <w:rFonts w:ascii="Calibri" w:hAnsi="Calibri" w:cs="Calibri"/>
              </w:rPr>
              <w:t xml:space="preserve"> Signature</w:t>
            </w:r>
          </w:p>
        </w:tc>
        <w:tc>
          <w:tcPr>
            <w:tcW w:w="5094" w:type="dxa"/>
          </w:tcPr>
          <w:p w:rsidR="00E813D3" w:rsidRPr="000431E9" w:rsidRDefault="00E813D3" w:rsidP="005B3A2F">
            <w:pPr>
              <w:jc w:val="center"/>
              <w:rPr>
                <w:rFonts w:ascii="Calibri" w:hAnsi="Calibri" w:cs="Calibri"/>
                <w:sz w:val="18"/>
                <w:szCs w:val="18"/>
              </w:rPr>
            </w:pPr>
          </w:p>
        </w:tc>
      </w:tr>
      <w:tr w:rsidR="005B3A2F" w:rsidRPr="000431E9" w:rsidTr="005B3A2F">
        <w:tc>
          <w:tcPr>
            <w:tcW w:w="5058" w:type="dxa"/>
            <w:shd w:val="clear" w:color="auto" w:fill="F2F2F2" w:themeFill="background1" w:themeFillShade="F2"/>
          </w:tcPr>
          <w:p w:rsidR="005B3A2F" w:rsidRPr="008573A2" w:rsidRDefault="005B3A2F" w:rsidP="005B3A2F">
            <w:pPr>
              <w:jc w:val="center"/>
              <w:rPr>
                <w:rFonts w:ascii="Calibri" w:hAnsi="Calibri" w:cs="Calibri"/>
              </w:rPr>
            </w:pPr>
            <w:proofErr w:type="spellStart"/>
            <w:r w:rsidRPr="008573A2">
              <w:rPr>
                <w:rFonts w:ascii="Calibri" w:hAnsi="Calibri" w:cs="Calibri"/>
              </w:rPr>
              <w:t>PreTAPP</w:t>
            </w:r>
            <w:proofErr w:type="spellEnd"/>
            <w:r w:rsidRPr="008573A2">
              <w:rPr>
                <w:rFonts w:ascii="Calibri" w:hAnsi="Calibri" w:cs="Calibri"/>
              </w:rPr>
              <w:t xml:space="preserve"> Candidate Address</w:t>
            </w:r>
          </w:p>
        </w:tc>
        <w:tc>
          <w:tcPr>
            <w:tcW w:w="5094" w:type="dxa"/>
          </w:tcPr>
          <w:p w:rsidR="005B3A2F" w:rsidRPr="000431E9" w:rsidRDefault="005B3A2F" w:rsidP="005B3A2F">
            <w:pPr>
              <w:jc w:val="center"/>
              <w:rPr>
                <w:rFonts w:ascii="Calibri" w:hAnsi="Calibri" w:cs="Calibri"/>
                <w:sz w:val="18"/>
                <w:szCs w:val="18"/>
              </w:rPr>
            </w:pPr>
          </w:p>
        </w:tc>
      </w:tr>
      <w:tr w:rsidR="005B3A2F" w:rsidRPr="000431E9" w:rsidTr="005B3A2F">
        <w:tc>
          <w:tcPr>
            <w:tcW w:w="5058" w:type="dxa"/>
            <w:shd w:val="clear" w:color="auto" w:fill="F2F2F2" w:themeFill="background1" w:themeFillShade="F2"/>
          </w:tcPr>
          <w:p w:rsidR="005B3A2F" w:rsidRPr="008573A2" w:rsidRDefault="005B3A2F" w:rsidP="005B3A2F">
            <w:pPr>
              <w:jc w:val="center"/>
              <w:rPr>
                <w:rFonts w:ascii="Calibri" w:hAnsi="Calibri" w:cs="Calibri"/>
              </w:rPr>
            </w:pPr>
            <w:r w:rsidRPr="008573A2">
              <w:rPr>
                <w:rFonts w:ascii="Calibri" w:hAnsi="Calibri" w:cs="Calibri"/>
              </w:rPr>
              <w:t xml:space="preserve">Superintendent or Designee </w:t>
            </w:r>
            <w:r>
              <w:rPr>
                <w:rFonts w:ascii="Calibri" w:hAnsi="Calibri" w:cs="Calibri"/>
              </w:rPr>
              <w:t>Name (Type or Print)</w:t>
            </w:r>
            <w:r w:rsidRPr="008573A2">
              <w:rPr>
                <w:rFonts w:ascii="Calibri" w:hAnsi="Calibri" w:cs="Calibri"/>
              </w:rPr>
              <w:t xml:space="preserve"> </w:t>
            </w:r>
          </w:p>
        </w:tc>
        <w:tc>
          <w:tcPr>
            <w:tcW w:w="5094" w:type="dxa"/>
          </w:tcPr>
          <w:p w:rsidR="005B3A2F" w:rsidRPr="000431E9" w:rsidRDefault="005B3A2F" w:rsidP="005B3A2F">
            <w:pPr>
              <w:jc w:val="center"/>
              <w:rPr>
                <w:rFonts w:ascii="Calibri" w:hAnsi="Calibri" w:cs="Calibri"/>
                <w:sz w:val="18"/>
                <w:szCs w:val="18"/>
              </w:rPr>
            </w:pPr>
          </w:p>
        </w:tc>
      </w:tr>
      <w:tr w:rsidR="005B3A2F" w:rsidRPr="000431E9" w:rsidTr="005B3A2F">
        <w:tc>
          <w:tcPr>
            <w:tcW w:w="5058" w:type="dxa"/>
            <w:shd w:val="clear" w:color="auto" w:fill="F2F2F2" w:themeFill="background1" w:themeFillShade="F2"/>
          </w:tcPr>
          <w:p w:rsidR="005B3A2F" w:rsidRPr="008573A2" w:rsidRDefault="005B3A2F" w:rsidP="005B3A2F">
            <w:pPr>
              <w:jc w:val="center"/>
              <w:rPr>
                <w:rFonts w:ascii="Calibri" w:hAnsi="Calibri" w:cs="Calibri"/>
              </w:rPr>
            </w:pPr>
            <w:r w:rsidRPr="008573A2">
              <w:rPr>
                <w:rFonts w:ascii="Calibri" w:hAnsi="Calibri" w:cs="Calibri"/>
              </w:rPr>
              <w:t xml:space="preserve">Superintendent or Designee Signature </w:t>
            </w:r>
          </w:p>
        </w:tc>
        <w:tc>
          <w:tcPr>
            <w:tcW w:w="5094" w:type="dxa"/>
          </w:tcPr>
          <w:p w:rsidR="005B3A2F" w:rsidRPr="000431E9" w:rsidRDefault="005B3A2F" w:rsidP="005B3A2F">
            <w:pPr>
              <w:jc w:val="center"/>
              <w:rPr>
                <w:rFonts w:ascii="Calibri" w:hAnsi="Calibri" w:cs="Calibri"/>
                <w:sz w:val="18"/>
                <w:szCs w:val="18"/>
              </w:rPr>
            </w:pPr>
          </w:p>
        </w:tc>
      </w:tr>
      <w:tr w:rsidR="00500D70" w:rsidRPr="000431E9" w:rsidTr="005B3A2F">
        <w:tc>
          <w:tcPr>
            <w:tcW w:w="5058" w:type="dxa"/>
            <w:shd w:val="clear" w:color="auto" w:fill="F2F2F2" w:themeFill="background1" w:themeFillShade="F2"/>
          </w:tcPr>
          <w:p w:rsidR="00500D70" w:rsidRPr="008573A2" w:rsidRDefault="00500D70" w:rsidP="005B3A2F">
            <w:pPr>
              <w:jc w:val="center"/>
              <w:rPr>
                <w:rFonts w:ascii="Calibri" w:hAnsi="Calibri" w:cs="Calibri"/>
              </w:rPr>
            </w:pPr>
            <w:r>
              <w:rPr>
                <w:rFonts w:ascii="Calibri" w:hAnsi="Calibri" w:cs="Calibri"/>
              </w:rPr>
              <w:t>District</w:t>
            </w:r>
          </w:p>
        </w:tc>
        <w:tc>
          <w:tcPr>
            <w:tcW w:w="5094" w:type="dxa"/>
          </w:tcPr>
          <w:p w:rsidR="00500D70" w:rsidRPr="000431E9" w:rsidRDefault="00500D70" w:rsidP="005B3A2F">
            <w:pPr>
              <w:jc w:val="center"/>
              <w:rPr>
                <w:rFonts w:ascii="Calibri" w:hAnsi="Calibri" w:cs="Calibri"/>
                <w:sz w:val="18"/>
                <w:szCs w:val="18"/>
              </w:rPr>
            </w:pPr>
          </w:p>
        </w:tc>
      </w:tr>
    </w:tbl>
    <w:p w:rsidR="00F24EA5" w:rsidRPr="005B3A2F" w:rsidRDefault="00F24EA5" w:rsidP="00500D70">
      <w:pPr>
        <w:rPr>
          <w:rFonts w:ascii="Calibri" w:hAnsi="Calibri" w:cs="Calibri"/>
        </w:rPr>
      </w:pPr>
    </w:p>
    <w:sectPr w:rsidR="00F24EA5" w:rsidRPr="005B3A2F" w:rsidSect="005B3A2F">
      <w:footerReference w:type="default" r:id="rId7"/>
      <w:pgSz w:w="12240" w:h="15840"/>
      <w:pgMar w:top="1008" w:right="1008" w:bottom="1008"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B43" w:rsidRDefault="00356B43" w:rsidP="005B3A2F">
      <w:r>
        <w:separator/>
      </w:r>
    </w:p>
  </w:endnote>
  <w:endnote w:type="continuationSeparator" w:id="0">
    <w:p w:rsidR="00356B43" w:rsidRDefault="00356B43" w:rsidP="005B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2F" w:rsidRDefault="00500D70" w:rsidP="00500D70">
    <w:pPr>
      <w:pStyle w:val="Footer"/>
      <w:jc w:val="center"/>
    </w:pPr>
    <w:r w:rsidRPr="005B3A2F">
      <w:rPr>
        <w:rFonts w:asciiTheme="minorHAnsi" w:hAnsiTheme="minorHAnsi"/>
        <w:b/>
        <w:sz w:val="20"/>
        <w:szCs w:val="20"/>
        <w:highlight w:val="yellow"/>
        <w:u w:val="single"/>
      </w:rPr>
      <w:t>Return this form to:</w:t>
    </w:r>
    <w:r>
      <w:rPr>
        <w:rFonts w:asciiTheme="minorHAnsi" w:hAnsiTheme="minorHAnsi"/>
        <w:b/>
        <w:sz w:val="20"/>
        <w:szCs w:val="20"/>
        <w:highlight w:val="yellow"/>
      </w:rPr>
      <w:t xml:space="preserve">  </w:t>
    </w:r>
    <w:r w:rsidR="005B3A2F" w:rsidRPr="005B3A2F">
      <w:rPr>
        <w:rFonts w:asciiTheme="minorHAnsi" w:hAnsiTheme="minorHAnsi"/>
        <w:b/>
        <w:sz w:val="20"/>
        <w:szCs w:val="20"/>
        <w:highlight w:val="yellow"/>
      </w:rPr>
      <w:t>Oconee RESA</w:t>
    </w:r>
    <w:r w:rsidR="005B3A2F">
      <w:rPr>
        <w:rFonts w:asciiTheme="minorHAnsi" w:hAnsiTheme="minorHAnsi"/>
        <w:b/>
        <w:sz w:val="20"/>
        <w:szCs w:val="20"/>
        <w:highlight w:val="yellow"/>
      </w:rPr>
      <w:t xml:space="preserve"> ~</w:t>
    </w:r>
    <w:r w:rsidR="005B3A2F" w:rsidRPr="005B3A2F">
      <w:rPr>
        <w:rFonts w:asciiTheme="minorHAnsi" w:hAnsiTheme="minorHAnsi"/>
        <w:b/>
        <w:sz w:val="20"/>
        <w:szCs w:val="20"/>
        <w:highlight w:val="yellow"/>
      </w:rPr>
      <w:t xml:space="preserve"> Attn:  GATAPP Department</w:t>
    </w:r>
    <w:r w:rsidR="005B3A2F">
      <w:rPr>
        <w:rFonts w:asciiTheme="minorHAnsi" w:hAnsiTheme="minorHAnsi"/>
        <w:b/>
        <w:sz w:val="20"/>
        <w:szCs w:val="20"/>
        <w:highlight w:val="yellow"/>
      </w:rPr>
      <w:t xml:space="preserve"> ~ 206 South Main Street ~ Tennille, GA 31089</w:t>
    </w:r>
  </w:p>
  <w:p w:rsidR="005B3A2F" w:rsidRDefault="005B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B43" w:rsidRDefault="00356B43" w:rsidP="005B3A2F">
      <w:r>
        <w:separator/>
      </w:r>
    </w:p>
  </w:footnote>
  <w:footnote w:type="continuationSeparator" w:id="0">
    <w:p w:rsidR="00356B43" w:rsidRDefault="00356B43" w:rsidP="005B3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3C7C"/>
    <w:multiLevelType w:val="hybridMultilevel"/>
    <w:tmpl w:val="4FC2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8E"/>
    <w:rsid w:val="000431E9"/>
    <w:rsid w:val="001D4C16"/>
    <w:rsid w:val="002233CC"/>
    <w:rsid w:val="00356B43"/>
    <w:rsid w:val="00500D70"/>
    <w:rsid w:val="005B3A2F"/>
    <w:rsid w:val="008573A2"/>
    <w:rsid w:val="00A43416"/>
    <w:rsid w:val="00AD0FA3"/>
    <w:rsid w:val="00B8115E"/>
    <w:rsid w:val="00D236B9"/>
    <w:rsid w:val="00E813D3"/>
    <w:rsid w:val="00F24EA5"/>
    <w:rsid w:val="00FA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6EF44"/>
  <w15:docId w15:val="{99DA41B8-2E67-4DAD-9429-CD4C5743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C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text">
    <w:name w:val="contenttext"/>
    <w:basedOn w:val="DefaultParagraphFont"/>
    <w:rsid w:val="00FA6C8E"/>
  </w:style>
  <w:style w:type="paragraph" w:styleId="ListParagraph">
    <w:name w:val="List Paragraph"/>
    <w:basedOn w:val="Normal"/>
    <w:uiPriority w:val="34"/>
    <w:qFormat/>
    <w:rsid w:val="00FA6C8E"/>
    <w:pPr>
      <w:ind w:left="720"/>
      <w:contextualSpacing/>
    </w:pPr>
  </w:style>
  <w:style w:type="table" w:styleId="TableGrid">
    <w:name w:val="Table Grid"/>
    <w:basedOn w:val="TableNormal"/>
    <w:rsid w:val="00FA6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B3A2F"/>
    <w:pPr>
      <w:tabs>
        <w:tab w:val="center" w:pos="4680"/>
        <w:tab w:val="right" w:pos="9360"/>
      </w:tabs>
    </w:pPr>
  </w:style>
  <w:style w:type="character" w:customStyle="1" w:styleId="HeaderChar">
    <w:name w:val="Header Char"/>
    <w:basedOn w:val="DefaultParagraphFont"/>
    <w:link w:val="Header"/>
    <w:rsid w:val="005B3A2F"/>
    <w:rPr>
      <w:sz w:val="24"/>
      <w:szCs w:val="24"/>
    </w:rPr>
  </w:style>
  <w:style w:type="paragraph" w:styleId="Footer">
    <w:name w:val="footer"/>
    <w:basedOn w:val="Normal"/>
    <w:link w:val="FooterChar"/>
    <w:uiPriority w:val="99"/>
    <w:unhideWhenUsed/>
    <w:rsid w:val="005B3A2F"/>
    <w:pPr>
      <w:tabs>
        <w:tab w:val="center" w:pos="4680"/>
        <w:tab w:val="right" w:pos="9360"/>
      </w:tabs>
    </w:pPr>
  </w:style>
  <w:style w:type="character" w:customStyle="1" w:styleId="FooterChar">
    <w:name w:val="Footer Char"/>
    <w:basedOn w:val="DefaultParagraphFont"/>
    <w:link w:val="Footer"/>
    <w:uiPriority w:val="99"/>
    <w:rsid w:val="005B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Whitaker</dc:creator>
  <cp:lastModifiedBy>Carolyn Whitaker</cp:lastModifiedBy>
  <cp:revision>6</cp:revision>
  <cp:lastPrinted>2019-06-03T17:32:00Z</cp:lastPrinted>
  <dcterms:created xsi:type="dcterms:W3CDTF">2019-06-03T17:27:00Z</dcterms:created>
  <dcterms:modified xsi:type="dcterms:W3CDTF">2019-06-03T18:02:00Z</dcterms:modified>
</cp:coreProperties>
</file>